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680</w:t>
      </w:r>
    </w:p>
    <w:p>
      <w:r>
        <w:t>Bundesgericht (BGE), 1971-10-13, DE</w:t>
      </w:r>
    </w:p>
    <w:p>
      <w:r>
        <w:rPr>
          <w:b/>
        </w:rPr>
        <w:t xml:space="preserve">Quelle: </w:t>
      </w:r>
      <w:r>
        <w:t>https://mcp.opencaselaw.ch/entscheid/bge_97 I 680</w:t>
      </w:r>
    </w:p>
    <w:p>
      <w:r>
        <w:t>FR: ATF 97 I 680</w:t>
      </w:r>
    </w:p>
    <w:p>
      <w:r>
        <w:t>IT: DTF 97 I 680</w:t>
      </w:r>
    </w:p>
    <w:p>
      <w:pPr>
        <w:pStyle w:val="Heading2"/>
      </w:pPr>
      <w:r>
        <w:t>Regeste</w:t>
      </w:r>
    </w:p>
    <w:p>
      <w:r>
        <w:t>Regeste Art. 86 Abs. 2 und Art. 87 OG. Die Bewilligung des Arrests (Arrestbefehl, Art. 272 SchKG) ist ein Endentscheid im Sinne des Art. 87 OG (Erw. 2). Ein kantonales Rechtsmittel, vor dessen Durchführung die staatsrechtliche Beschwerde wegen Verletzung des Art. 4 BV gegen den Arrestbefehl nach Art. 86 Abs. 2 und Art. 87 OG unzulässig ist, bildet - die Arrestaufhebungsklage (Art. 279 Abs. 2 SchKG), mit der der Schuldner den Arrestgrund bestreiten kann (Erw. 3 a); - nicht die Arrestprosequierung (Art. 278 SchKG), in der der Schuldner Bestand, Fälligkeit und Höhe der Arrestforderung bestreiten kann; er kann daher mit einer unmittelbar gegen den Arrestbefehl gerichteten staatsrechtlichen Beschwerde geltend machen, die diesem zugrunde liegende Annahme, der Gläubiger habe eine verfallene Forderung glaubhaft gemacht, sei willkürlich und verletze Art. 4 BV (Änderung der Rechtsprechung; Erw. 3 b).</w:t>
      </w:r>
    </w:p>
    <w:p>
      <w:pPr>
        <w:pStyle w:val="Heading2"/>
      </w:pPr>
      <w:r>
        <w:t>Erwägungen</w:t>
      </w:r>
    </w:p>
    <w:p>
      <w:r>
        <w:rPr>
          <w:b/>
        </w:rPr>
        <w:t>E. 2</w:t>
      </w:r>
    </w:p>
    <w:p>
      <w:r>
        <w:t>In BGE 94 I 368 E. 3 hat das Bundesgericht festgestellt, der Entscheid über provisorische Rechtsöffnung sei im Verhältnis zu den Urteilen über die Forderungsklage ( Art. 79 SchKG ) oder Aberkennungsklage ( Art. 83 Abs. 2 SchKG ) ein Endentscheid, weil das Rechtsöffnungs- und das Zivilprozessverfahren ihrem Gegenstand nach derart verschieden seien, dass es nicht angehe, sie als eine Einheit zu betrachten, innerhalb BGE 97 I 680 S. 682 welcher der Rechtsöffnungsentscheid einen blossen Zwischenentscheid darstellen würde. Sodann hat es in BGE 95 I 256 E. 3 entschieden, der Entscheid, mit dem der Rechtsvorschlag in der Wechselbetreibung bewilligt wird ( Art. 182 SchKG ), stelle einen Endentscheid dar, denn die Geltendmachung des Anspruchs des Gläubigers im ordentlichen Zivilprozess ( Art. 186 SchKG ) sei keine Fortsetzung des Betreibungs- und Rechtsvorschlagsverfahrens. Die in diesen Urteilen angestellten Erwägungen, auf die im einzelnen verwiesen wird, führen dazu, die Arrestbewilligung ( Art. 272 SchKG ) im Verhältnis zum Urteil über die Klage auf Anerkennung der Forderung ( Art. 278 SchKG ) nicht als Zwischenentscheid zu betrachten. Der Arrest ist eine Sicherungsmassnahme rein betreibungsrechtlicher Natur, die dazu dient, eine spätere Pfändung zu ermöglichen (JAEGER, N. 6 zu Art. 271 SchKG ; BLUMENSTEIN, Handbuch S. 827; FRITZSCHE, Schuldbetreibung und Konkurs 2. A. Bd. II S. 200). Die Arrestprosequierungsklage ist keine betreibungsrechtliche, sondern eine selbständige zivilrechtliche Klage (FRITZCHE, a.a.O. S. 244). Sie "steht mit dem Arrest inhaltlich in keinem Zusammenhang" ( BGE 95 II 206 E. 2) und unterscheidet sich - wie die Aberkennungsklage - in keiner wesentlichen Beziehung von einem Forderungsstreit, der mit keinem Betreibungsverfahren zusammenhängt. Die Selbständigkeit des Arrestbewilligungsverfahrens folgt auch daraus, dass der Arrest auch bewilligt werden kann für eine Forderung, die bereits durch rechtskräftiges Urteil festgestellt ist. Arrestbewilligungs- und Arrestprosequierungsverfahren sind somit getrennte Verfahren mit verschiedenen Zielen; ersteres dient der betreibungsrechtlichen Sicherung einer Forderung, letzteres der Abklärung ihres Bestandes. Der Entscheid, mit dem der Arrest bewilligt wird, ist demnach ein Endentscheid im Sinne des Art. 87 OG .</w:t>
      </w:r>
    </w:p>
    <w:p>
      <w:r>
        <w:rPr>
          <w:b/>
        </w:rPr>
        <w:t>E. 3</w:t>
      </w:r>
    </w:p>
    <w:p>
      <w:r>
        <w:t>Da in BGE 82 I 81 und den dort angeführten Urteilen i.S. Repal SA und Lamalex SA vom 27. Januar bzw. 19. Mai 1954 angenommen wurde, der Arrestbefehl sei kein letztinstanzlicher Entscheid im Sinne der Art. 86 Abs. 2 und Art. 87 OG , solange der in der Arrestprosequierungsbetreibung erhobene Rechtsvorschlag nicht durch definitive Rechtsöffnung oder durch ein letztinstanzliches Urteil über die Arrestforderung beseitigt sei, ist weiter zu prüfen, ob und inwiefern der Arrestbefehl als letztinstanzlich zu gelten hat. Dabei ist wiederum von BGE 97 I 680 S. 683 den Erwägungen auszugehen, die das Bundesgericht vor einigen Jahren veranlasst haben, in Änderung seiner Rechtsprechung der Forderungs- und Aberkennungsklage gegenüber der provisorischen Rechtsöffnung und der Klage gemäss Art. 186 SchKG gegenüber der Bewilligung des Rechtsvorschlags in der Wechselbetreibung den Charakter von Rechtsmitteln im Sinne von Art. 86 Abs. 2 OG abzusprechen ( BGE 94 I 371 E. 4 und BGE 95 I 255 E. 2, 3). a) Gegen den Arrestbefehl findet weder Berufung noch Beschwerde statt ( Art. 279 Abs. 1 SchKG ). Zulässig ist einzig die Arrestaufhebungsklage, mit welcher der Schuldner jedoch nur den Arrestgrund bestreiten kann ( Art. 279 Abs. 2 SchKG ). Da es sich dabei um eine Frage des Betreibungsrechtes handelt, unterliegt das letztinstanzliche Urteil im Arrestaufhebungsprozess weder der Berufung noch der zivilrechtlichen Nichtigkeitsbeschwerde an das Bundesgericht ( BGE 81 II 83 /84), sondern kann bei diesem nur mit staatsrechtlicher Beschwerde angefochten werden. Der Arrestaufhebungsprozess setzt inbezug auf das Vorliegen des Arrestgrundes das Arrestbewilligungsverfahren fort und bildet mit ihm eine Einheit, welche die Arrestaufhebungsklage als Rechtsmittel gegenüber dem Arrestbefehl erscheinen lässt. Bei Streit über den Arrestgrund bildet daher für den Schuldner erst das Urteil, mit dem die letzte kantonale Instanz die Arrestaufhebungsklage abweist, einen letztinstanzlichen Arrestbewilligungsentscheid. b) Die Beschwerdeführer bestreiten mit der vorliegenden Beschwerde nicht den Arrestgrund, sondern Bestand, Fälligkeit und Höhe der Arrestforderung. Der Entscheid hierüber ist der Arrestprosequierung gemäss Art. 278 SchKG vorbehalten. Da, wie in Erw. 2 dargelegt wurde, Arrestbewilligungsverfahren einerseits und Arrestprosequierungsverfahren anderseits ihrer Natur und ihrem Gegenstand nach ebenso verschieden sind wie die provisorische Rechtsöffnung und der im Anschluss daran eingeleitete Forderungs- oder Aberkennungsprozess, geht es nicht an, die Arrestforderungsklage gegenüber der Arrestbewilligung als "Rechtsmittel" im Sinne von Art. 86 Abs. 2 OG aufzufassen. Inbezug auf die Glaubhaftigkeit der Arrestforderung und ihrer Fälligkeit bildet das Arrestbewilligungsverfahren ein selbständiges Verfahren, das durch den Entscheid der Arrestbehörde letztinstanzlich abgeschlossen wird. An der hievor erwähnten Rechtsprechung, wonach im Hinblick auf das BGE 97 I 680 S. 684 Arrestprosequierungsverfahren gemäss Art. 278 SchKG die unmittelbar gegen den Arrestbefehl erhobene staatsrechtliche Beschwerde wegen Verletzung des Art. 4 BV mangels Erschöpfung des kantonalen Instanzenzuges nicht zulässig ist, kann daher nicht festgehalten werden. c) Der vom Gerichtspräsidenten von Solothurn-Lebern am 24. Februar 1971 erlassene Arrestbefehl ist somit, soweit es um Bestand, Fälligkeit und Höhe der Arrestforderung geht, ein letztinstanzlicher Endentscheid, weshalb auf die vorliegende, gegen ihn erhobene staatsrechtliche 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